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commentsExtendedDocument.xml" ContentType="application/vnd.openxmlformats-officedocument.wordprocessingml.commentsExtended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IdsDocument.xml" ContentType="application/vnd.openxmlformats-officedocument.wordprocessingml.commentsId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  <w:p>
            <w:pPr>
              <w:jc w:val="both"/>
              <w:rPr>
                <w:i/>
                <w:highlight w:val="none"/>
              </w:rPr>
            </w:pP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  <w:r>
              <w:rPr>
                <w:i/>
                <w:highlight w:val="none"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-142" w:right="0" w:firstLine="0"/>
              <w:jc w:val="right"/>
              <w:rPr>
                <w:b/>
              </w:rPr>
            </w:pPr>
            <w:r>
              <w:rPr>
                <w:b/>
              </w:rPr>
              <w:t xml:space="preserve">Заместитель директора – главный инженер филиала ПАО «</w:t>
            </w:r>
            <w:r>
              <w:rPr>
                <w:b/>
              </w:rPr>
              <w:t xml:space="preserve">Россети</w:t>
            </w:r>
            <w:r>
              <w:rPr>
                <w:b/>
              </w:rPr>
              <w:t xml:space="preserve"> Урал» -«Челябэнерго»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 __________________________В.А. Обвинцев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b/>
              </w:rPr>
              <w:t xml:space="preserve"> «_____» ________________202</w:t>
            </w:r>
            <w:r>
              <w:rPr>
                <w:b/>
              </w:rPr>
              <w:t xml:space="preserve">6</w:t>
            </w:r>
            <w:r>
              <w:rPr>
                <w:b/>
              </w:rPr>
              <w:t xml:space="preserve">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11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34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4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4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4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грузоподъемных приспособлений и комплектующих (ЧЭ)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Челябинск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1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11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31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highlight w:val="whit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</w:t>
      </w:r>
      <w:r>
        <w:rPr>
          <w:highlight w:val="white"/>
        </w:rPr>
        <w:t xml:space="preserve"> </w:t>
      </w:r>
      <w:r>
        <w:rPr>
          <w:highlight w:val="white"/>
        </w:rPr>
        <w:t xml:space="preserve">грузоподъемных приспособлений и комплектующих (ЧЭ)</w:t>
      </w:r>
      <w:r>
        <w:rPr>
          <w:highlight w:val="white"/>
        </w:rPr>
        <w:t xml:space="preserve">.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 xml:space="preserve">План закупок 2026 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white"/>
        </w:rPr>
      </w:pPr>
      <w:r>
        <w:rPr>
          <w:b/>
          <w:highlight w:val="white"/>
        </w:rPr>
        <w:t xml:space="preserve">Место</w:t>
      </w:r>
      <w:r>
        <w:rPr>
          <w:highlight w:val="white"/>
        </w:rPr>
        <w:t xml:space="preserve"> </w:t>
      </w:r>
      <w:r>
        <w:rPr>
          <w:b/>
          <w:highlight w:val="white"/>
        </w:rPr>
        <w:t xml:space="preserve">поставки</w:t>
      </w:r>
      <w:r>
        <w:rPr>
          <w:b/>
          <w:highlight w:val="white"/>
          <w:shd w:val="clear" w:color="auto" w:fill="ffff00"/>
        </w:rPr>
        <w:t xml:space="preserve">: Территория Челябинской области.</w:t>
      </w:r>
      <w:r>
        <w:rPr>
          <w:rFonts w:eastAsia="MS Mincho"/>
          <w:highlight w:val="white"/>
        </w:rPr>
      </w:r>
      <w:r>
        <w:rPr>
          <w:rFonts w:eastAsia="MS Mincho"/>
          <w:highlight w:val="whit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31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55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  <w:t xml:space="preserve">Потребность 2 квартала 2026 г.: в течение 45 календарных дней с момента заключения договора.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31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59827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П</w:t>
            </w:r>
            <w:r>
              <w:rPr>
                <w:sz w:val="20"/>
                <w:szCs w:val="20"/>
                <w:highlight w:val="none"/>
              </w:rPr>
              <w:t xml:space="preserve">оставка</w:t>
            </w:r>
            <w:r>
              <w:rPr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 xml:space="preserve">грузоподъемных приспособлений и комплектующих (ЧЭ)</w:t>
            </w:r>
            <w:r>
              <w:rPr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95 974,02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28.22.18.390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19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>
        <w:rPr>
          <w:b/>
          <w:sz w:val="24"/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1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</w:t>
      </w:r>
      <w:r>
        <w:rPr>
          <w:highlight w:val="none"/>
        </w:rPr>
        <w:t xml:space="preserve">4.3.4.</w:t>
      </w:r>
      <w:r>
        <w:rPr>
          <w:highlight w:val="none"/>
        </w:rPr>
        <w:t xml:space="preserve"> 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55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1 квартала 2026 г.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bCs w:val="0"/>
          <w:i w:val="0"/>
        </w:rPr>
      </w:pPr>
      <w:r>
        <w:rPr>
          <w:i w:val="0"/>
          <w:iCs w:val="0"/>
          <w:highlight w:val="none"/>
        </w:rPr>
        <w:t xml:space="preserve">1.10.6.1. Грузоподъемные  и грузозахватрые приспособления должны соответсвовать требованиям  РД 36-62-00 "Оборудование грузоподъемное. Общие технические требования". (Согласовано с Госгортехнадзором России письмом от 13.07.00 № 12-07/675. </w:t>
      </w:r>
      <w:r>
        <w:rPr>
          <w:bCs w:val="0"/>
          <w:i w:val="0"/>
        </w:rPr>
      </w:r>
      <w:r>
        <w:rPr>
          <w:bCs w:val="0"/>
          <w:i w:val="0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 w:val="0"/>
          <w:iCs w:val="0"/>
          <w:highlight w:val="none"/>
        </w:rPr>
        <w:t xml:space="preserve">1.10.6.2. Гарантийный срок на поставляемую продукцию должен составлять не менее 1 (одного) года с момента поставки продукции на склад Грузополучателя.</w:t>
      </w:r>
      <w:r>
        <w:rPr>
          <w:i/>
          <w:highlight w:val="none"/>
        </w:rPr>
        <w:t xml:space="preserve">  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31"/>
        <w:numPr>
          <w:ilvl w:val="2"/>
          <w:numId w:val="20"/>
        </w:numPr>
        <w:ind w:left="0" w:hanging="11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 4 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1-17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41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2"/>
        <w:numPr>
          <w:ilvl w:val="1"/>
          <w:numId w:val="20"/>
        </w:numPr>
        <w:rPr>
          <w:highlight w:val="whit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</w:t>
      </w:r>
      <w:r>
        <w:rPr>
          <w:highlight w:val="white"/>
        </w:rPr>
        <w:t xml:space="preserve">(отборочные требования):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white"/>
        </w:rPr>
      </w:pPr>
      <w:r>
        <w:rPr>
          <w:rFonts w:eastAsia="MS Mincho"/>
          <w:highlight w:val="whit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1043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43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41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43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white"/>
        </w:rPr>
      </w:pPr>
      <w:r>
        <w:rPr>
          <w:rFonts w:eastAsia="Calibri"/>
          <w:szCs w:val="24"/>
          <w:highlight w:val="whit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white"/>
        </w:rPr>
      </w:r>
      <w:r>
        <w:rPr>
          <w:rFonts w:eastAsia="Calibri"/>
          <w:szCs w:val="24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У</w:t>
      </w:r>
      <w:r>
        <w:rPr>
          <w:highlight w:val="whit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whit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highlight w:val="white"/>
        </w:rPr>
      </w:pPr>
      <w:r>
        <w:rPr>
          <w:rFonts w:eastAsia="Calibri"/>
          <w:szCs w:val="24"/>
          <w:highlight w:val="white"/>
        </w:rPr>
      </w:r>
      <w:r>
        <w:rPr>
          <w:highlight w:val="white"/>
        </w:rPr>
        <w:t xml:space="preserve">П</w:t>
      </w:r>
      <w:r>
        <w:rPr>
          <w:highlight w:val="whit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white"/>
        </w:rPr>
        <w:t xml:space="preserve">ет</w:t>
      </w:r>
      <w:r>
        <w:rPr>
          <w:highlight w:val="white"/>
        </w:rPr>
        <w:t xml:space="preserve">ся единым для всех видов продукции</w:t>
      </w:r>
      <w:r>
        <w:rPr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highlight w:val="white"/>
          <w:lang w:val="ru-RU"/>
        </w:rPr>
        <w:t xml:space="preserve">В столбце «</w:t>
      </w:r>
      <w:r>
        <w:rPr>
          <w:highlight w:val="white"/>
          <w:lang w:val="ru-RU"/>
        </w:rPr>
        <w:t xml:space="preserve">Ставка НДС, %</w:t>
      </w:r>
      <w:r>
        <w:rPr>
          <w:highlight w:val="whit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white"/>
          <w:lang w:val="ru-RU"/>
        </w:rPr>
        <w:t xml:space="preserve">«</w:t>
      </w:r>
      <w:r>
        <w:rPr>
          <w:highlight w:val="white"/>
          <w:lang w:val="ru-RU"/>
        </w:rPr>
        <w:t xml:space="preserve">Ставка НДС, %</w:t>
      </w:r>
      <w:r>
        <w:rPr>
          <w:highlight w:val="white"/>
          <w:lang w:val="ru-RU"/>
        </w:rPr>
        <w:t xml:space="preserve">»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у</w:t>
      </w:r>
      <w:r>
        <w:rPr>
          <w:highlight w:val="white"/>
          <w:lang w:val="ru-RU"/>
        </w:rPr>
        <w:t xml:space="preserve">к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з</w:t>
      </w:r>
      <w:r>
        <w:rPr>
          <w:highlight w:val="white"/>
          <w:lang w:val="ru-RU"/>
        </w:rPr>
        <w:t xml:space="preserve">ы</w:t>
      </w:r>
      <w:r>
        <w:rPr>
          <w:highlight w:val="white"/>
          <w:lang w:val="ru-RU"/>
        </w:rPr>
        <w:t xml:space="preserve">в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0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б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ц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н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з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п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н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white"/>
        </w:rPr>
      </w:pPr>
      <w:r>
        <w:rPr>
          <w:rFonts w:eastAsia="Calibri"/>
          <w:szCs w:val="24"/>
          <w:highlight w:val="white"/>
          <w:lang w:eastAsia="en-US"/>
        </w:rPr>
      </w:r>
      <w:r>
        <w:rPr>
          <w:rFonts w:eastAsia="Calibri"/>
          <w:szCs w:val="24"/>
          <w:highlight w:val="white"/>
          <w:lang w:eastAsia="en-US"/>
        </w:rPr>
        <w:t xml:space="preserve">В</w:t>
      </w:r>
      <w:r>
        <w:rPr>
          <w:rFonts w:eastAsia="Calibri"/>
          <w:szCs w:val="24"/>
          <w:highlight w:val="whit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white"/>
          <w:lang w:eastAsia="en-US"/>
        </w:rPr>
        <w:t xml:space="preserve">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white"/>
          <w:lang w:eastAsia="en-US"/>
        </w:rPr>
        <w:t xml:space="preserve">идами юридических лиц».</w:t>
      </w:r>
      <w:r>
        <w:rPr>
          <w:highlight w:val="white"/>
        </w:rPr>
      </w:r>
      <w:r>
        <w:rPr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white"/>
        </w:rPr>
      </w:pPr>
      <w:r>
        <w:rPr>
          <w:rFonts w:eastAsia="Calibri"/>
          <w:szCs w:val="24"/>
          <w:highlight w:val="whit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white"/>
        </w:rPr>
      </w:r>
      <w:r>
        <w:rPr>
          <w:rFonts w:eastAsia="Calibri"/>
          <w:szCs w:val="24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</w:rPr>
      </w:r>
      <w:r>
        <w:rPr>
          <w:highlight w:val="white"/>
        </w:rPr>
        <w:t xml:space="preserve">В ц</w:t>
      </w:r>
      <w:r>
        <w:rPr>
          <w:highlight w:val="white"/>
        </w:rPr>
        <w:t xml:space="preserve">елях подтверждения страны происхождения товара</w:t>
      </w:r>
      <w:r>
        <w:rPr>
          <w:highlight w:val="white"/>
        </w:rPr>
        <w:t xml:space="preserve"> в соответствии с п.1.10.7 Технического задания</w:t>
      </w:r>
      <w:r>
        <w:rPr>
          <w:highlight w:val="white"/>
        </w:rPr>
        <w:t xml:space="preserve"> Участник в </w:t>
      </w:r>
      <w:r>
        <w:rPr>
          <w:highlight w:val="white"/>
        </w:rPr>
        <w:t xml:space="preserve">Приложении </w:t>
      </w:r>
      <w:r>
        <w:rPr>
          <w:rFonts w:eastAsia="Calibri"/>
          <w:szCs w:val="24"/>
          <w:highlight w:val="white"/>
          <w:lang w:eastAsia="en-US"/>
        </w:rPr>
        <w:t xml:space="preserve">№4 к Техническому заданию</w:t>
      </w:r>
      <w:r>
        <w:rPr>
          <w:highlight w:val="white"/>
        </w:rPr>
        <w:t xml:space="preserve"> заполняет столбец 12* «</w:t>
      </w:r>
      <w:r>
        <w:rPr>
          <w:highlight w:val="whit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white"/>
        </w:rPr>
        <w:t xml:space="preserve">» по каждой номенклатурной позиции</w:t>
      </w:r>
      <w:r>
        <w:rPr>
          <w:highlight w:val="white"/>
        </w:rPr>
        <w:t xml:space="preserve"> с  обязательным указанием в столбце 13* </w:t>
      </w:r>
      <w:r>
        <w:rPr>
          <w:highlight w:val="whit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white"/>
        </w:rPr>
        <w:t xml:space="preserve">(при их наличии).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cyan"/>
        </w:rPr>
      </w:pPr>
      <w:r>
        <w:rPr>
          <w:rFonts w:eastAsia="Calibri"/>
          <w:szCs w:val="24"/>
          <w:highlight w:val="white"/>
        </w:rPr>
      </w:r>
      <w:r>
        <w:rPr>
          <w:highlight w:val="white"/>
        </w:rPr>
        <w:t xml:space="preserve">В случае непредоставления / </w:t>
      </w:r>
      <w:r>
        <w:rPr>
          <w:highlight w:val="white"/>
        </w:rPr>
        <w:t xml:space="preserve">не полного предоставления / </w:t>
      </w:r>
      <w:r>
        <w:rPr>
          <w:highlight w:val="white"/>
        </w:rPr>
        <w:t xml:space="preserve">некорректного предоставления </w:t>
      </w:r>
      <w:r>
        <w:rPr>
          <w:highlight w:val="white"/>
        </w:rPr>
        <w:t xml:space="preserve">/ </w:t>
      </w:r>
      <w:r>
        <w:rPr>
          <w:highlight w:val="whit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whit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cyan"/>
        </w:rPr>
        <w:t xml:space="preserve"> </w:t>
      </w:r>
      <w:r>
        <w:rPr>
          <w:rFonts w:eastAsia="Calibri"/>
          <w:highlight w:val="cyan"/>
        </w:rPr>
      </w:r>
      <w:r>
        <w:rPr>
          <w:rFonts w:eastAsia="Calibri"/>
          <w:highlight w:val="cyan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.1.</w:t>
      </w:r>
      <w:r>
        <w:rPr>
          <w:rFonts w:eastAsia="Calibri"/>
          <w:szCs w:val="24"/>
          <w:highlight w:val="white"/>
          <w:lang w:eastAsia="en-US"/>
        </w:rPr>
        <w:t xml:space="preserve">9</w:t>
      </w:r>
      <w:r>
        <w:rPr>
          <w:rFonts w:eastAsia="Calibri"/>
          <w:szCs w:val="24"/>
          <w:highlight w:val="cyan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43"/>
        <w:numPr>
          <w:ilvl w:val="1"/>
          <w:numId w:val="20"/>
        </w:numPr>
        <w:ind w:left="0" w:firstLine="0"/>
        <w:widowControl w:val="off"/>
        <w:tabs>
          <w:tab w:val="left" w:pos="0" w:leader="none"/>
          <w:tab w:val="left" w:pos="709" w:leader="none"/>
        </w:tabs>
        <w:rPr>
          <w:b/>
          <w:highlight w:val="none"/>
        </w:rPr>
      </w:pPr>
      <w:r>
        <w:rPr>
          <w:highlight w:val="none"/>
        </w:rPr>
      </w:r>
      <w:r>
        <w:rPr>
          <w:rFonts w:eastAsia="Calibri"/>
          <w:highlight w:val="none"/>
        </w:rPr>
        <w:t xml:space="preserve">Заполненные Участником опросные листы, чертежи</w:t>
      </w:r>
      <w:r>
        <w:rPr>
          <w:rFonts w:eastAsia="Calibri"/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(приложение №5 к </w:t>
      </w:r>
      <w:r>
        <w:rPr>
          <w:highlight w:val="none"/>
        </w:rPr>
        <w:t xml:space="preserve">Техническому заданию)</w:t>
      </w:r>
      <w:r>
        <w:rPr>
          <w:highlight w:val="none"/>
        </w:rPr>
        <w:t xml:space="preserve"> </w:t>
      </w:r>
      <w:r>
        <w:rPr>
          <w:szCs w:val="24"/>
          <w:highlight w:val="none"/>
        </w:rPr>
        <w:t xml:space="preserve">в соответствии с инструкцией по заполнению (приложение №5.1 </w:t>
      </w:r>
      <w:r>
        <w:rPr>
          <w:highlight w:val="none"/>
        </w:rPr>
        <w:t xml:space="preserve">Техническому заданию</w:t>
      </w:r>
      <w:r>
        <w:rPr>
          <w:szCs w:val="24"/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b/>
          <w:highlight w:val="none"/>
        </w:rPr>
        <w:t xml:space="preserve"> </w:t>
      </w:r>
      <w:r>
        <w:rPr>
          <w:rFonts w:eastAsia="Calibri"/>
          <w:highlight w:val="none"/>
        </w:rPr>
        <w:t xml:space="preserve">В случае предложения Участником эквивалента заказываемой продукции: в подтверждение соответствия техническим требованиям заказываемой продукции согласно Приложения №</w:t>
      </w:r>
      <w:r>
        <w:rPr>
          <w:rFonts w:eastAsia="Calibri"/>
          <w:highlight w:val="none"/>
        </w:rPr>
        <w:t xml:space="preserve">4</w:t>
      </w:r>
      <w:r>
        <w:rPr>
          <w:rFonts w:eastAsia="Calibri"/>
          <w:highlight w:val="none"/>
        </w:rPr>
        <w:t xml:space="preserve"> к</w:t>
      </w:r>
      <w:r>
        <w:rPr>
          <w:rFonts w:eastAsia="Calibri"/>
          <w:highlight w:val="none"/>
        </w:rPr>
        <w:t xml:space="preserve"> ТЗ</w:t>
      </w:r>
      <w:r>
        <w:rPr>
          <w:rFonts w:eastAsia="Calibri"/>
          <w:highlight w:val="none"/>
        </w:rPr>
        <w:t xml:space="preserve">, параметры заменяемой продукции должны быть отражены в заполненных опросных листах (приложение №</w:t>
      </w:r>
      <w:r>
        <w:rPr>
          <w:rFonts w:eastAsia="Calibri"/>
          <w:highlight w:val="none"/>
        </w:rPr>
        <w:t xml:space="preserve">5 </w:t>
      </w:r>
      <w:r>
        <w:rPr>
          <w:highlight w:val="none"/>
        </w:rPr>
        <w:t xml:space="preserve">Техническому заданию</w:t>
      </w:r>
      <w:r>
        <w:rPr>
          <w:rFonts w:eastAsia="Calibri"/>
          <w:highlight w:val="none"/>
        </w:rPr>
        <w:t xml:space="preserve">).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3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5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5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5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5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25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25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25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3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3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3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rFonts w:eastAsiaTheme="majorEastAsia"/>
          <w:highlight w:val="none"/>
        </w:rPr>
        <w:outlineLvl w:val="0"/>
      </w:pP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</w:t>
      </w: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5</w:t>
      </w:r>
      <w:r>
        <w:rPr>
          <w:rStyle w:val="1040"/>
          <w:rFonts w:ascii="Times New Roman" w:hAnsi="Times New Roman" w:cs="Times New Roman"/>
          <w:b/>
          <w:i/>
          <w:color w:val="auto"/>
          <w:highlight w:val="none"/>
        </w:rPr>
        <w:t xml:space="preserve"> </w:t>
      </w:r>
      <w:r>
        <w:rPr>
          <w:rStyle w:val="1040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Опросные листы </w:t>
      </w:r>
      <w:r>
        <w:rPr>
          <w:rFonts w:eastAsiaTheme="majorEastAsia"/>
          <w:highlight w:val="none"/>
        </w:rPr>
        <w:t xml:space="preserve">с инструкцией по заполнению (Приложение 5.1.)</w:t>
      </w:r>
      <w:r>
        <w:rPr>
          <w:i/>
          <w:highlight w:val="none"/>
        </w:rPr>
      </w:r>
      <w:r>
        <w:rPr>
          <w:rFonts w:eastAsiaTheme="majorEastAsia"/>
          <w:highlight w:val="none"/>
        </w:rPr>
      </w:r>
    </w:p>
    <w:p>
      <w:pPr>
        <w:pStyle w:val="103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  <w:highlight w:val="none"/>
        </w:rPr>
        <w:outlineLvl w:val="0"/>
      </w:pPr>
      <w:r>
        <w:rPr>
          <w:rFonts w:eastAsiaTheme="majorEastAsia"/>
          <w:highlight w:val="none"/>
        </w:rPr>
      </w:r>
      <w:r>
        <w:rPr>
          <w:rFonts w:eastAsiaTheme="majorEastAsia"/>
          <w:highlight w:val="none"/>
        </w:rPr>
      </w:r>
      <w:r>
        <w:rPr>
          <w:bCs/>
          <w:i/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firstLine="85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ФОРМА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52"/>
        <w:ind w:firstLine="85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4"/>
          <w:szCs w:val="24"/>
          <w:highlight w:val="none"/>
        </w:rPr>
        <w:pBdr>
          <w:bottom w:val="single" w:color="000000" w:sz="12" w:space="1"/>
        </w:pBdr>
        <w:outlineLvl w:val="1"/>
      </w:pPr>
      <w:r>
        <w:rPr>
          <w:sz w:val="24"/>
          <w:szCs w:val="24"/>
          <w:highlight w:val="none"/>
        </w:rPr>
        <w:t xml:space="preserve">Обоснование начальной (максимальной) цены договора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4"/>
          <w:szCs w:val="24"/>
          <w:highlight w:val="none"/>
        </w:rPr>
        <w:pBdr>
          <w:bottom w:val="single" w:color="000000" w:sz="12" w:space="1"/>
        </w:pBdr>
        <w:outlineLvl w:val="1"/>
      </w:pPr>
      <w:r>
        <w:rPr>
          <w:sz w:val="24"/>
          <w:szCs w:val="24"/>
          <w:highlight w:val="none"/>
        </w:rPr>
      </w: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</w:t>
      </w:r>
      <w:r>
        <w:rPr>
          <w:highlight w:val="white"/>
        </w:rPr>
        <w:t xml:space="preserve"> </w:t>
      </w:r>
      <w:r>
        <w:rPr>
          <w:highlight w:val="white"/>
        </w:rPr>
        <w:t xml:space="preserve">грузоподъемных приспособлений и комплектующих (ЧЭ)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4"/>
          <w:szCs w:val="24"/>
          <w:highlight w:val="none"/>
        </w:rPr>
        <w:outlineLvl w:val="1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(указывается предмет закупки)</w:t>
      </w:r>
      <w:bookmarkStart w:id="16" w:name="l152"/>
      <w:r>
        <w:rPr>
          <w:sz w:val="24"/>
          <w:szCs w:val="24"/>
          <w:highlight w:val="none"/>
        </w:rPr>
      </w:r>
      <w:bookmarkEnd w:id="16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bookmarkStart w:id="17" w:name="l55"/>
            <w:r>
              <w:rPr>
                <w:sz w:val="24"/>
                <w:szCs w:val="24"/>
                <w:highlight w:val="none"/>
              </w:rPr>
            </w:r>
            <w:bookmarkEnd w:id="17"/>
            <w:r>
              <w:rPr>
                <w:sz w:val="24"/>
                <w:szCs w:val="24"/>
                <w:highlight w:val="none"/>
              </w:rPr>
              <w:t xml:space="preserve">Начальная (максимальная) цена договора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95 974,02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25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Нормативный метод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jc w:val="left"/>
              <w:spacing w:after="300"/>
              <w:rPr>
                <w:i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    Единый стандарт закупок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spacing w:after="300"/>
              <w:rPr>
                <w:i/>
                <w:sz w:val="24"/>
                <w:szCs w:val="24"/>
                <w:highlight w:val="none"/>
              </w:rPr>
            </w:pP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Приложение № 1.1. к Техническому заданию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left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 w:val="0"/>
          <w:bCs w:val="0"/>
          <w:highlight w:val="white"/>
        </w:rPr>
        <w:tab/>
      </w:r>
      <w:r>
        <w:rPr>
          <w:b w:val="0"/>
          <w:bCs w:val="0"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left"/>
        <w:rPr>
          <w:highlight w:val="white"/>
        </w:rPr>
      </w:pPr>
      <w:r>
        <w:rPr>
          <w:b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highlight w:val="cyan"/>
              </w:rPr>
            </w:r>
            <w:bookmarkStart w:id="23" w:name="_GoBack"/>
            <w:r>
              <w:rPr>
                <w:highlight w:val="cyan"/>
              </w:rPr>
            </w:r>
            <w:bookmarkEnd w:id="23"/>
            <w:r>
              <w:rPr>
                <w:sz w:val="20"/>
                <w:szCs w:val="20"/>
                <w:highlight w:val="none"/>
              </w:rPr>
              <w:t xml:space="preserve">Ведущий специалист ОМТО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Крылова И.А.</w:t>
            </w:r>
            <w:r>
              <w:rPr>
                <w:sz w:val="20"/>
                <w:szCs w:val="20"/>
                <w:highlight w:val="cyan"/>
              </w:rPr>
            </w:r>
            <w:r>
              <w:rPr>
                <w:sz w:val="20"/>
                <w:szCs w:val="20"/>
                <w:highlight w:val="cyan"/>
              </w:rPr>
            </w:r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Herepanova-OA" w:date="2026-02-20T13:53:19Z" w:initials="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удалить, если закупка без нац.режима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409B52" w16cex:dateUtc="2026-02-20T08:53:19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5409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2050606050509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3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5"/>
      <w:rPr>
        <w:rStyle w:val="1037"/>
      </w:rPr>
      <w:framePr w:wrap="around" w:vAnchor="text" w:hAnchor="margin" w:xAlign="center" w:y="1"/>
    </w:pPr>
    <w:r>
      <w:rPr>
        <w:rStyle w:val="1037"/>
      </w:rPr>
      <w:fldChar w:fldCharType="begin"/>
    </w:r>
    <w:r>
      <w:rPr>
        <w:rStyle w:val="1037"/>
      </w:rPr>
      <w:instrText xml:space="preserve">PAGE  </w:instrText>
    </w:r>
    <w:r>
      <w:rPr>
        <w:rStyle w:val="1037"/>
      </w:rPr>
      <w:fldChar w:fldCharType="end"/>
    </w:r>
    <w:r>
      <w:rPr>
        <w:rStyle w:val="1037"/>
      </w:rPr>
    </w:r>
    <w:r>
      <w:rPr>
        <w:rStyle w:val="1037"/>
      </w:rPr>
    </w:r>
  </w:p>
  <w:p>
    <w:pPr>
      <w:pStyle w:val="103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55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  <w:p>
      <w:pPr>
        <w:pStyle w:val="1053"/>
      </w:pPr>
      <w:r/>
      <w:r/>
    </w:p>
  </w:footnote>
  <w:footnote w:id="3">
    <w:p>
      <w:pPr>
        <w:pStyle w:val="1053"/>
        <w:jc w:val="both"/>
        <w:rPr>
          <w:sz w:val="18"/>
          <w:szCs w:val="18"/>
        </w:rPr>
      </w:pPr>
      <w:r>
        <w:rPr>
          <w:rStyle w:val="1055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32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32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5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44"/>
    <w:lvl w:ilvl="0">
      <w:start w:val="1"/>
      <w:numFmt w:val="decimal"/>
      <w:pStyle w:val="104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42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43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45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46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47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48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4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4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4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4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4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4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4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4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4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4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4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4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43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4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4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4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4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4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4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4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4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7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4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epanova-OA">
    <w15:presenceInfo w15:providerId="Teamlab" w15:userId="CHerepanova-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0">
    <w:name w:val="Heading 1 Char"/>
    <w:basedOn w:val="1012"/>
    <w:link w:val="1008"/>
    <w:uiPriority w:val="9"/>
    <w:rPr>
      <w:rFonts w:ascii="Arial" w:hAnsi="Arial" w:eastAsia="Arial" w:cs="Arial"/>
      <w:sz w:val="40"/>
      <w:szCs w:val="40"/>
    </w:rPr>
  </w:style>
  <w:style w:type="character" w:styleId="841">
    <w:name w:val="Heading 2 Char"/>
    <w:basedOn w:val="1012"/>
    <w:link w:val="1009"/>
    <w:uiPriority w:val="9"/>
    <w:rPr>
      <w:rFonts w:ascii="Arial" w:hAnsi="Arial" w:eastAsia="Arial" w:cs="Arial"/>
      <w:sz w:val="34"/>
    </w:rPr>
  </w:style>
  <w:style w:type="character" w:styleId="842">
    <w:name w:val="Heading 3 Char"/>
    <w:basedOn w:val="1012"/>
    <w:link w:val="1010"/>
    <w:uiPriority w:val="9"/>
    <w:rPr>
      <w:rFonts w:ascii="Arial" w:hAnsi="Arial" w:eastAsia="Arial" w:cs="Arial"/>
      <w:sz w:val="30"/>
      <w:szCs w:val="30"/>
    </w:rPr>
  </w:style>
  <w:style w:type="paragraph" w:styleId="843">
    <w:name w:val="Heading 4"/>
    <w:basedOn w:val="1007"/>
    <w:next w:val="1007"/>
    <w:link w:val="8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4">
    <w:name w:val="Heading 4 Char"/>
    <w:basedOn w:val="1012"/>
    <w:link w:val="843"/>
    <w:uiPriority w:val="9"/>
    <w:rPr>
      <w:rFonts w:ascii="Arial" w:hAnsi="Arial" w:eastAsia="Arial" w:cs="Arial"/>
      <w:b/>
      <w:bCs/>
      <w:sz w:val="26"/>
      <w:szCs w:val="26"/>
    </w:rPr>
  </w:style>
  <w:style w:type="character" w:styleId="845">
    <w:name w:val="Heading 5 Char"/>
    <w:basedOn w:val="1012"/>
    <w:link w:val="1011"/>
    <w:uiPriority w:val="9"/>
    <w:rPr>
      <w:rFonts w:ascii="Arial" w:hAnsi="Arial" w:eastAsia="Arial" w:cs="Arial"/>
      <w:b/>
      <w:bCs/>
      <w:sz w:val="24"/>
      <w:szCs w:val="24"/>
    </w:rPr>
  </w:style>
  <w:style w:type="paragraph" w:styleId="846">
    <w:name w:val="Heading 6"/>
    <w:basedOn w:val="1007"/>
    <w:next w:val="1007"/>
    <w:link w:val="8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7">
    <w:name w:val="Heading 6 Char"/>
    <w:basedOn w:val="1012"/>
    <w:link w:val="846"/>
    <w:uiPriority w:val="9"/>
    <w:rPr>
      <w:rFonts w:ascii="Arial" w:hAnsi="Arial" w:eastAsia="Arial" w:cs="Arial"/>
      <w:b/>
      <w:bCs/>
      <w:sz w:val="22"/>
      <w:szCs w:val="22"/>
    </w:rPr>
  </w:style>
  <w:style w:type="paragraph" w:styleId="848">
    <w:name w:val="Heading 7"/>
    <w:basedOn w:val="1007"/>
    <w:next w:val="1007"/>
    <w:link w:val="8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7 Char"/>
    <w:basedOn w:val="1012"/>
    <w:link w:val="8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0">
    <w:name w:val="Heading 8"/>
    <w:basedOn w:val="1007"/>
    <w:next w:val="1007"/>
    <w:link w:val="8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1">
    <w:name w:val="Heading 8 Char"/>
    <w:basedOn w:val="1012"/>
    <w:link w:val="850"/>
    <w:uiPriority w:val="9"/>
    <w:rPr>
      <w:rFonts w:ascii="Arial" w:hAnsi="Arial" w:eastAsia="Arial" w:cs="Arial"/>
      <w:i/>
      <w:iCs/>
      <w:sz w:val="22"/>
      <w:szCs w:val="22"/>
    </w:rPr>
  </w:style>
  <w:style w:type="paragraph" w:styleId="852">
    <w:name w:val="Heading 9"/>
    <w:basedOn w:val="1007"/>
    <w:next w:val="1007"/>
    <w:link w:val="8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3">
    <w:name w:val="Heading 9 Char"/>
    <w:basedOn w:val="1012"/>
    <w:link w:val="852"/>
    <w:uiPriority w:val="9"/>
    <w:rPr>
      <w:rFonts w:ascii="Arial" w:hAnsi="Arial" w:eastAsia="Arial" w:cs="Arial"/>
      <w:i/>
      <w:iCs/>
      <w:sz w:val="21"/>
      <w:szCs w:val="21"/>
    </w:rPr>
  </w:style>
  <w:style w:type="character" w:styleId="854">
    <w:name w:val="Title Char"/>
    <w:basedOn w:val="1012"/>
    <w:link w:val="1019"/>
    <w:uiPriority w:val="10"/>
    <w:rPr>
      <w:sz w:val="48"/>
      <w:szCs w:val="48"/>
    </w:rPr>
  </w:style>
  <w:style w:type="paragraph" w:styleId="855">
    <w:name w:val="Subtitle"/>
    <w:basedOn w:val="1007"/>
    <w:next w:val="1007"/>
    <w:link w:val="856"/>
    <w:uiPriority w:val="11"/>
    <w:qFormat/>
    <w:pPr>
      <w:spacing w:before="200" w:after="200"/>
    </w:pPr>
    <w:rPr>
      <w:sz w:val="24"/>
      <w:szCs w:val="24"/>
    </w:rPr>
  </w:style>
  <w:style w:type="character" w:styleId="856">
    <w:name w:val="Subtitle Char"/>
    <w:basedOn w:val="1012"/>
    <w:link w:val="855"/>
    <w:uiPriority w:val="11"/>
    <w:rPr>
      <w:sz w:val="24"/>
      <w:szCs w:val="24"/>
    </w:rPr>
  </w:style>
  <w:style w:type="paragraph" w:styleId="857">
    <w:name w:val="Quote"/>
    <w:basedOn w:val="1007"/>
    <w:next w:val="1007"/>
    <w:link w:val="858"/>
    <w:uiPriority w:val="29"/>
    <w:qFormat/>
    <w:pPr>
      <w:ind w:left="720" w:right="720"/>
    </w:pPr>
    <w:rPr>
      <w:i/>
    </w:rPr>
  </w:style>
  <w:style w:type="character" w:styleId="858">
    <w:name w:val="Quote Char"/>
    <w:link w:val="857"/>
    <w:uiPriority w:val="29"/>
    <w:rPr>
      <w:i/>
    </w:rPr>
  </w:style>
  <w:style w:type="paragraph" w:styleId="859">
    <w:name w:val="Intense Quote"/>
    <w:basedOn w:val="1007"/>
    <w:next w:val="1007"/>
    <w:link w:val="86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0">
    <w:name w:val="Intense Quote Char"/>
    <w:link w:val="859"/>
    <w:uiPriority w:val="30"/>
    <w:rPr>
      <w:i/>
    </w:rPr>
  </w:style>
  <w:style w:type="paragraph" w:styleId="861">
    <w:name w:val="Header"/>
    <w:basedOn w:val="1007"/>
    <w:link w:val="8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62">
    <w:name w:val="Header Char"/>
    <w:basedOn w:val="1012"/>
    <w:link w:val="861"/>
    <w:uiPriority w:val="99"/>
  </w:style>
  <w:style w:type="character" w:styleId="863">
    <w:name w:val="Footer Char"/>
    <w:basedOn w:val="1012"/>
    <w:link w:val="1035"/>
    <w:uiPriority w:val="99"/>
  </w:style>
  <w:style w:type="paragraph" w:styleId="864">
    <w:name w:val="Caption"/>
    <w:basedOn w:val="1007"/>
    <w:next w:val="1007"/>
    <w:link w:val="8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5">
    <w:name w:val="Caption Char"/>
    <w:basedOn w:val="1012"/>
    <w:link w:val="864"/>
    <w:uiPriority w:val="35"/>
    <w:rPr>
      <w:b/>
      <w:bCs/>
      <w:color w:val="4f81bd" w:themeColor="accent1"/>
      <w:sz w:val="18"/>
      <w:szCs w:val="18"/>
    </w:rPr>
  </w:style>
  <w:style w:type="table" w:styleId="866">
    <w:name w:val="Table Grid"/>
    <w:basedOn w:val="10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7">
    <w:name w:val="Table Grid Light"/>
    <w:basedOn w:val="10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Plain Table 1"/>
    <w:basedOn w:val="10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>
    <w:name w:val="Plain Table 2"/>
    <w:basedOn w:val="10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>
    <w:name w:val="Plain Table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Plain Table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>
    <w:name w:val="Grid Table 1 Light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1 Light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2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4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5">
    <w:name w:val="Grid Table 4 - Accent 1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6">
    <w:name w:val="Grid Table 4 - Accent 2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7">
    <w:name w:val="Grid Table 4 - Accent 3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8">
    <w:name w:val="Grid Table 4 - Accent 4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9">
    <w:name w:val="Grid Table 4 - Accent 5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0">
    <w:name w:val="Grid Table 4 - Accent 6"/>
    <w:basedOn w:val="10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1">
    <w:name w:val="Grid Table 5 Dark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2">
    <w:name w:val="Grid Table 5 Dark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3">
    <w:name w:val="Grid Table 5 Dark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5">
    <w:name w:val="Grid Table 5 Dark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6">
    <w:name w:val="Grid Table 5 Dark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7">
    <w:name w:val="Grid Table 5 Dark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8">
    <w:name w:val="Grid Table 6 Colorful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9">
    <w:name w:val="Grid Table 6 Colorful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0">
    <w:name w:val="Grid Table 6 Colorful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1">
    <w:name w:val="Grid Table 6 Colorful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2">
    <w:name w:val="Grid Table 6 Colorful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3">
    <w:name w:val="Grid Table 6 Colorful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4">
    <w:name w:val="Grid Table 6 Colorful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5">
    <w:name w:val="Grid Table 7 Colorful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7 Colorful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0">
    <w:name w:val="List Table 2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1">
    <w:name w:val="List Table 2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2">
    <w:name w:val="List Table 2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3">
    <w:name w:val="List Table 2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4">
    <w:name w:val="List Table 2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5">
    <w:name w:val="List Table 2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6">
    <w:name w:val="List Table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3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5 Dark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5 Dark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6 Colorful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8">
    <w:name w:val="List Table 6 Colorful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9">
    <w:name w:val="List Table 6 Colorful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0">
    <w:name w:val="List Table 6 Colorful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1">
    <w:name w:val="List Table 6 Colorful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2">
    <w:name w:val="List Table 6 Colorful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3">
    <w:name w:val="List Table 6 Colorful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4">
    <w:name w:val="List Table 7 Colorful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5">
    <w:name w:val="List Table 7 Colorful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6">
    <w:name w:val="List Table 7 Colorful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7">
    <w:name w:val="List Table 7 Colorful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8">
    <w:name w:val="List Table 7 Colorful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9">
    <w:name w:val="List Table 7 Colorful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0">
    <w:name w:val="List Table 7 Colorful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1">
    <w:name w:val="Lined - Accent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2">
    <w:name w:val="Lined - Accent 1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3">
    <w:name w:val="Lined - Accent 2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4">
    <w:name w:val="Lined - Accent 3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5">
    <w:name w:val="Lined - Accent 4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6">
    <w:name w:val="Lined - Accent 5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7">
    <w:name w:val="Lined - Accent 6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8">
    <w:name w:val="Bordered &amp; Lined - Accent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9">
    <w:name w:val="Bordered &amp; Lined - Accent 1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0">
    <w:name w:val="Bordered &amp; Lined - Accent 2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1">
    <w:name w:val="Bordered &amp; Lined - Accent 3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2">
    <w:name w:val="Bordered &amp; Lined - Accent 4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3">
    <w:name w:val="Bordered &amp; Lined - Accent 5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4">
    <w:name w:val="Bordered &amp; Lined - Accent 6"/>
    <w:basedOn w:val="10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5">
    <w:name w:val="Bordered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6">
    <w:name w:val="Bordered - Accent 1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7">
    <w:name w:val="Bordered - Accent 2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8">
    <w:name w:val="Bordered - Accent 3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9">
    <w:name w:val="Bordered - Accent 4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0">
    <w:name w:val="Bordered - Accent 5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1">
    <w:name w:val="Bordered - Accent 6"/>
    <w:basedOn w:val="10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2">
    <w:name w:val="Footnote Text Char"/>
    <w:link w:val="1053"/>
    <w:uiPriority w:val="99"/>
    <w:rPr>
      <w:sz w:val="18"/>
    </w:rPr>
  </w:style>
  <w:style w:type="paragraph" w:styleId="993">
    <w:name w:val="endnote text"/>
    <w:basedOn w:val="1007"/>
    <w:link w:val="994"/>
    <w:uiPriority w:val="99"/>
    <w:semiHidden/>
    <w:unhideWhenUsed/>
    <w:pPr>
      <w:spacing w:after="0" w:line="240" w:lineRule="auto"/>
    </w:pPr>
    <w:rPr>
      <w:sz w:val="20"/>
    </w:rPr>
  </w:style>
  <w:style w:type="character" w:styleId="994">
    <w:name w:val="Endnote Text Char"/>
    <w:link w:val="993"/>
    <w:uiPriority w:val="99"/>
    <w:rPr>
      <w:sz w:val="20"/>
    </w:rPr>
  </w:style>
  <w:style w:type="character" w:styleId="995">
    <w:name w:val="endnote reference"/>
    <w:basedOn w:val="1012"/>
    <w:uiPriority w:val="99"/>
    <w:semiHidden/>
    <w:unhideWhenUsed/>
    <w:rPr>
      <w:vertAlign w:val="superscript"/>
    </w:rPr>
  </w:style>
  <w:style w:type="paragraph" w:styleId="996">
    <w:name w:val="toc 1"/>
    <w:basedOn w:val="1007"/>
    <w:next w:val="1007"/>
    <w:uiPriority w:val="39"/>
    <w:unhideWhenUsed/>
    <w:pPr>
      <w:ind w:left="0" w:right="0" w:firstLine="0"/>
      <w:spacing w:after="57"/>
    </w:pPr>
  </w:style>
  <w:style w:type="paragraph" w:styleId="997">
    <w:name w:val="toc 2"/>
    <w:basedOn w:val="1007"/>
    <w:next w:val="1007"/>
    <w:uiPriority w:val="39"/>
    <w:unhideWhenUsed/>
    <w:pPr>
      <w:ind w:left="283" w:right="0" w:firstLine="0"/>
      <w:spacing w:after="57"/>
    </w:pPr>
  </w:style>
  <w:style w:type="paragraph" w:styleId="998">
    <w:name w:val="toc 3"/>
    <w:basedOn w:val="1007"/>
    <w:next w:val="1007"/>
    <w:uiPriority w:val="39"/>
    <w:unhideWhenUsed/>
    <w:pPr>
      <w:ind w:left="567" w:right="0" w:firstLine="0"/>
      <w:spacing w:after="57"/>
    </w:pPr>
  </w:style>
  <w:style w:type="paragraph" w:styleId="999">
    <w:name w:val="toc 4"/>
    <w:basedOn w:val="1007"/>
    <w:next w:val="1007"/>
    <w:uiPriority w:val="39"/>
    <w:unhideWhenUsed/>
    <w:pPr>
      <w:ind w:left="850" w:right="0" w:firstLine="0"/>
      <w:spacing w:after="57"/>
    </w:pPr>
  </w:style>
  <w:style w:type="paragraph" w:styleId="1000">
    <w:name w:val="toc 5"/>
    <w:basedOn w:val="1007"/>
    <w:next w:val="1007"/>
    <w:uiPriority w:val="39"/>
    <w:unhideWhenUsed/>
    <w:pPr>
      <w:ind w:left="1134" w:right="0" w:firstLine="0"/>
      <w:spacing w:after="57"/>
    </w:pPr>
  </w:style>
  <w:style w:type="paragraph" w:styleId="1001">
    <w:name w:val="toc 6"/>
    <w:basedOn w:val="1007"/>
    <w:next w:val="1007"/>
    <w:uiPriority w:val="39"/>
    <w:unhideWhenUsed/>
    <w:pPr>
      <w:ind w:left="1417" w:right="0" w:firstLine="0"/>
      <w:spacing w:after="57"/>
    </w:pPr>
  </w:style>
  <w:style w:type="paragraph" w:styleId="1002">
    <w:name w:val="toc 7"/>
    <w:basedOn w:val="1007"/>
    <w:next w:val="1007"/>
    <w:uiPriority w:val="39"/>
    <w:unhideWhenUsed/>
    <w:pPr>
      <w:ind w:left="1701" w:right="0" w:firstLine="0"/>
      <w:spacing w:after="57"/>
    </w:pPr>
  </w:style>
  <w:style w:type="paragraph" w:styleId="1003">
    <w:name w:val="toc 8"/>
    <w:basedOn w:val="1007"/>
    <w:next w:val="1007"/>
    <w:uiPriority w:val="39"/>
    <w:unhideWhenUsed/>
    <w:pPr>
      <w:ind w:left="1984" w:right="0" w:firstLine="0"/>
      <w:spacing w:after="57"/>
    </w:pPr>
  </w:style>
  <w:style w:type="paragraph" w:styleId="1004">
    <w:name w:val="toc 9"/>
    <w:basedOn w:val="1007"/>
    <w:next w:val="1007"/>
    <w:uiPriority w:val="39"/>
    <w:unhideWhenUsed/>
    <w:pPr>
      <w:ind w:left="2268" w:right="0" w:firstLine="0"/>
      <w:spacing w:after="57"/>
    </w:pPr>
  </w:style>
  <w:style w:type="paragraph" w:styleId="1005">
    <w:name w:val="TOC Heading"/>
    <w:uiPriority w:val="39"/>
    <w:unhideWhenUsed/>
  </w:style>
  <w:style w:type="paragraph" w:styleId="1006">
    <w:name w:val="table of figures"/>
    <w:basedOn w:val="1007"/>
    <w:next w:val="1007"/>
    <w:uiPriority w:val="99"/>
    <w:unhideWhenUsed/>
    <w:pPr>
      <w:spacing w:after="0" w:afterAutospacing="0"/>
    </w:pPr>
  </w:style>
  <w:style w:type="paragraph" w:styleId="100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8">
    <w:name w:val="Heading 1"/>
    <w:basedOn w:val="1007"/>
    <w:next w:val="1007"/>
    <w:link w:val="1015"/>
    <w:qFormat/>
    <w:pPr>
      <w:jc w:val="center"/>
      <w:keepNext/>
      <w:outlineLvl w:val="0"/>
    </w:pPr>
    <w:rPr>
      <w:sz w:val="28"/>
    </w:rPr>
  </w:style>
  <w:style w:type="paragraph" w:styleId="1009">
    <w:name w:val="Heading 2"/>
    <w:basedOn w:val="1007"/>
    <w:next w:val="1007"/>
    <w:link w:val="1040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10">
    <w:name w:val="Heading 3"/>
    <w:basedOn w:val="1007"/>
    <w:next w:val="1007"/>
    <w:link w:val="1038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11">
    <w:name w:val="Heading 5"/>
    <w:basedOn w:val="1007"/>
    <w:next w:val="1007"/>
    <w:link w:val="1033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12" w:default="1">
    <w:name w:val="Default Paragraph Font"/>
    <w:uiPriority w:val="1"/>
    <w:semiHidden/>
    <w:unhideWhenUsed/>
  </w:style>
  <w:style w:type="table" w:styleId="10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4" w:default="1">
    <w:name w:val="No List"/>
    <w:uiPriority w:val="99"/>
    <w:semiHidden/>
    <w:unhideWhenUsed/>
  </w:style>
  <w:style w:type="character" w:styleId="1015" w:customStyle="1">
    <w:name w:val="Заголовок 1 Знак"/>
    <w:basedOn w:val="1012"/>
    <w:link w:val="1008"/>
    <w:rPr>
      <w:rFonts w:ascii="Times New Roman" w:hAnsi="Times New Roman" w:eastAsia="Times New Roman" w:cs="Times New Roman"/>
      <w:sz w:val="28"/>
      <w:szCs w:val="24"/>
    </w:rPr>
  </w:style>
  <w:style w:type="paragraph" w:styleId="1016">
    <w:name w:val="Body Text Indent"/>
    <w:basedOn w:val="1007"/>
    <w:link w:val="1017"/>
    <w:uiPriority w:val="99"/>
    <w:pPr>
      <w:ind w:left="1083" w:firstLine="537"/>
      <w:jc w:val="both"/>
      <w:tabs>
        <w:tab w:val="num" w:pos="0" w:leader="none"/>
      </w:tabs>
    </w:pPr>
  </w:style>
  <w:style w:type="character" w:styleId="1017" w:customStyle="1">
    <w:name w:val="Основной текст с отступом Знак"/>
    <w:basedOn w:val="1012"/>
    <w:link w:val="101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18">
    <w:name w:val="Normal (Web)"/>
    <w:basedOn w:val="1007"/>
    <w:uiPriority w:val="99"/>
    <w:pPr>
      <w:spacing w:before="100" w:beforeAutospacing="1" w:after="100" w:afterAutospacing="1"/>
    </w:pPr>
  </w:style>
  <w:style w:type="paragraph" w:styleId="1019">
    <w:name w:val="Title"/>
    <w:basedOn w:val="1007"/>
    <w:link w:val="1020"/>
    <w:uiPriority w:val="10"/>
    <w:qFormat/>
    <w:pPr>
      <w:jc w:val="center"/>
    </w:pPr>
    <w:rPr>
      <w:sz w:val="28"/>
    </w:rPr>
  </w:style>
  <w:style w:type="character" w:styleId="1020" w:customStyle="1">
    <w:name w:val="Заголовок Знак"/>
    <w:basedOn w:val="1012"/>
    <w:link w:val="1019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21" w:customStyle="1">
    <w:name w:val="Подподпункт"/>
    <w:basedOn w:val="1007"/>
  </w:style>
  <w:style w:type="paragraph" w:styleId="1022">
    <w:name w:val="Plain Text"/>
    <w:basedOn w:val="1007"/>
    <w:link w:val="1023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23" w:customStyle="1">
    <w:name w:val="Текст Знак"/>
    <w:basedOn w:val="1012"/>
    <w:link w:val="1022"/>
    <w:uiPriority w:val="99"/>
    <w:rPr>
      <w:rFonts w:ascii="Consolas" w:hAnsi="Consolas" w:eastAsia="Calibri" w:cs="Times New Roman"/>
      <w:sz w:val="21"/>
      <w:szCs w:val="21"/>
    </w:rPr>
  </w:style>
  <w:style w:type="character" w:styleId="1024">
    <w:name w:val="annotation reference"/>
    <w:uiPriority w:val="99"/>
    <w:rPr>
      <w:sz w:val="16"/>
      <w:szCs w:val="16"/>
    </w:rPr>
  </w:style>
  <w:style w:type="paragraph" w:styleId="1025">
    <w:name w:val="annotation text"/>
    <w:basedOn w:val="1007"/>
    <w:link w:val="1026"/>
    <w:uiPriority w:val="99"/>
    <w:rPr>
      <w:sz w:val="20"/>
      <w:szCs w:val="20"/>
    </w:rPr>
  </w:style>
  <w:style w:type="character" w:styleId="1026" w:customStyle="1">
    <w:name w:val="Текст примечания Знак"/>
    <w:basedOn w:val="1012"/>
    <w:link w:val="102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7">
    <w:name w:val="Balloon Text"/>
    <w:basedOn w:val="1007"/>
    <w:link w:val="1028"/>
    <w:uiPriority w:val="99"/>
    <w:semiHidden/>
    <w:unhideWhenUsed/>
    <w:rPr>
      <w:rFonts w:ascii="Tahoma" w:hAnsi="Tahoma" w:cs="Tahoma"/>
      <w:sz w:val="16"/>
      <w:szCs w:val="16"/>
    </w:rPr>
  </w:style>
  <w:style w:type="character" w:styleId="1028" w:customStyle="1">
    <w:name w:val="Текст выноски Знак"/>
    <w:basedOn w:val="1012"/>
    <w:link w:val="102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29">
    <w:name w:val="annotation subject"/>
    <w:basedOn w:val="1025"/>
    <w:next w:val="1025"/>
    <w:link w:val="1030"/>
    <w:uiPriority w:val="99"/>
    <w:semiHidden/>
    <w:unhideWhenUsed/>
    <w:rPr>
      <w:b/>
      <w:bCs/>
    </w:rPr>
  </w:style>
  <w:style w:type="character" w:styleId="1030" w:customStyle="1">
    <w:name w:val="Тема примечания Знак"/>
    <w:basedOn w:val="1026"/>
    <w:link w:val="102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31">
    <w:name w:val="List Paragraph"/>
    <w:basedOn w:val="1007"/>
    <w:link w:val="1039"/>
    <w:uiPriority w:val="34"/>
    <w:qFormat/>
    <w:pPr>
      <w:contextualSpacing/>
      <w:ind w:left="720"/>
    </w:pPr>
  </w:style>
  <w:style w:type="character" w:styleId="1032">
    <w:name w:val="Hyperlink"/>
    <w:basedOn w:val="1012"/>
    <w:uiPriority w:val="99"/>
    <w:unhideWhenUsed/>
    <w:rPr>
      <w:color w:val="0000ff"/>
      <w:u w:val="single"/>
    </w:rPr>
  </w:style>
  <w:style w:type="character" w:styleId="1033" w:customStyle="1">
    <w:name w:val="Заголовок 5 Знак"/>
    <w:basedOn w:val="1012"/>
    <w:link w:val="1011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3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5">
    <w:name w:val="Footer"/>
    <w:basedOn w:val="1007"/>
    <w:link w:val="1036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36" w:customStyle="1">
    <w:name w:val="Нижний колонтитул Знак"/>
    <w:basedOn w:val="1012"/>
    <w:link w:val="1035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37">
    <w:name w:val="page number"/>
    <w:basedOn w:val="1012"/>
  </w:style>
  <w:style w:type="character" w:styleId="1038" w:customStyle="1">
    <w:name w:val="Заголовок 3 Знак"/>
    <w:basedOn w:val="1012"/>
    <w:link w:val="1010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39" w:customStyle="1">
    <w:name w:val="Абзац списка Знак"/>
    <w:basedOn w:val="1012"/>
    <w:link w:val="103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40" w:customStyle="1">
    <w:name w:val="Заголовок 2 Знак"/>
    <w:basedOn w:val="1012"/>
    <w:link w:val="1009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41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42" w:customStyle="1">
    <w:name w:val="2-з"/>
    <w:basedOn w:val="1007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43" w:customStyle="1">
    <w:name w:val="3-з"/>
    <w:link w:val="1049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44" w:customStyle="1">
    <w:name w:val="нумерация"/>
    <w:uiPriority w:val="99"/>
    <w:pPr>
      <w:numPr>
        <w:ilvl w:val="0"/>
        <w:numId w:val="26"/>
      </w:numPr>
    </w:pPr>
  </w:style>
  <w:style w:type="paragraph" w:styleId="1045" w:customStyle="1">
    <w:name w:val="4-з"/>
    <w:link w:val="1056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46" w:customStyle="1">
    <w:name w:val="5-з"/>
    <w:basedOn w:val="1007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47" w:customStyle="1">
    <w:name w:val="6-буквы"/>
    <w:basedOn w:val="1007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48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49" w:customStyle="1">
    <w:name w:val="3-з Знак"/>
    <w:basedOn w:val="1012"/>
    <w:link w:val="1043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50" w:customStyle="1">
    <w:name w:val="Абзац списка1"/>
    <w:basedOn w:val="1007"/>
    <w:link w:val="1051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51" w:customStyle="1">
    <w:name w:val="List Paragraph Char"/>
    <w:link w:val="1050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5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53">
    <w:name w:val="footnote text"/>
    <w:basedOn w:val="1007"/>
    <w:link w:val="1054"/>
    <w:uiPriority w:val="99"/>
    <w:unhideWhenUsed/>
    <w:rPr>
      <w:sz w:val="20"/>
      <w:szCs w:val="20"/>
    </w:rPr>
  </w:style>
  <w:style w:type="character" w:styleId="1054" w:customStyle="1">
    <w:name w:val="Текст сноски Знак"/>
    <w:basedOn w:val="1012"/>
    <w:link w:val="10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55">
    <w:name w:val="footnote reference"/>
    <w:basedOn w:val="1012"/>
    <w:uiPriority w:val="99"/>
    <w:unhideWhenUsed/>
    <w:rPr>
      <w:vertAlign w:val="superscript"/>
    </w:rPr>
  </w:style>
  <w:style w:type="character" w:styleId="1056" w:customStyle="1">
    <w:name w:val="4-з Знак"/>
    <w:basedOn w:val="1012"/>
    <w:link w:val="1045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nlyoffice.com/commentsDocument" Target="commentsDocument.xml" /><Relationship Id="rId13" Type="http://schemas.onlyoffice.com/commentsExtendedDocument" Target="commentsExtendedDocument.xml" /><Relationship Id="rId14" Type="http://schemas.onlyoffice.com/commentsExtensibleDocument" Target="commentsExtensibleDocument.xml" /><Relationship Id="rId15" Type="http://schemas.onlyoffice.com/commentsIdsDocument" Target="commentsIdsDocument.xml" /><Relationship Id="rId1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Krylova-IA</cp:lastModifiedBy>
  <cp:revision>53</cp:revision>
  <dcterms:created xsi:type="dcterms:W3CDTF">2024-01-30T04:06:00Z</dcterms:created>
  <dcterms:modified xsi:type="dcterms:W3CDTF">2026-07-21T07:53:45Z</dcterms:modified>
</cp:coreProperties>
</file>